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 w:line="226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-202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学年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沈阳科技学院学生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教学信息员工作</w:t>
      </w:r>
    </w:p>
    <w:p>
      <w:pPr>
        <w:spacing w:before="237" w:line="226" w:lineRule="auto"/>
        <w:ind w:left="0" w:leftChars="0" w:firstLine="0" w:firstLineChars="0"/>
        <w:jc w:val="center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实施方案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为健全我校教学质量监控体系，全面提升我校教育教学质量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0"/>
        </w:rPr>
        <w:t>促进教风和学风建设，进一步加强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0"/>
        </w:rPr>
        <w:t>教学信息员的管理，更高效地开展信息收集工作，解决信息反馈机制管理难度大、信息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收</w:t>
      </w:r>
      <w:r>
        <w:rPr>
          <w:rFonts w:hint="eastAsia" w:ascii="仿宋" w:hAnsi="仿宋" w:eastAsia="仿宋" w:cs="仿宋"/>
          <w:sz w:val="28"/>
          <w:szCs w:val="20"/>
        </w:rPr>
        <w:t>集不畅通等问题</w:t>
      </w:r>
      <w:r>
        <w:rPr>
          <w:rFonts w:hint="eastAsia" w:ascii="仿宋" w:hAnsi="仿宋" w:cs="仿宋"/>
          <w:sz w:val="28"/>
          <w:szCs w:val="20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0"/>
        </w:rPr>
        <w:t>特制定202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0"/>
        </w:rPr>
        <w:t>-202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0"/>
        </w:rPr>
        <w:t>学年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学生教学</w:t>
      </w:r>
      <w:r>
        <w:rPr>
          <w:rFonts w:hint="eastAsia" w:ascii="仿宋" w:hAnsi="仿宋" w:eastAsia="仿宋" w:cs="仿宋"/>
          <w:sz w:val="28"/>
          <w:szCs w:val="20"/>
        </w:rPr>
        <w:t>信息员工作实施方案，具体如下：</w:t>
      </w:r>
    </w:p>
    <w:p>
      <w:pPr>
        <w:ind w:left="0" w:leftChars="0" w:firstLine="652" w:firstLineChars="200"/>
        <w:jc w:val="lef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一、组织管理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本学年教学信息员工作实行逐级管理制度，组织机构由四部分组成：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教学质量管理处</w:t>
      </w:r>
      <w:r>
        <w:rPr>
          <w:rFonts w:hint="eastAsia" w:ascii="仿宋" w:hAnsi="仿宋" w:eastAsia="仿宋" w:cs="仿宋"/>
          <w:sz w:val="28"/>
          <w:szCs w:val="20"/>
        </w:rPr>
        <w:t>、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教学信息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站</w:t>
      </w:r>
      <w:r>
        <w:rPr>
          <w:rFonts w:hint="eastAsia" w:ascii="仿宋" w:hAnsi="仿宋" w:eastAsia="仿宋" w:cs="仿宋"/>
          <w:sz w:val="28"/>
          <w:szCs w:val="20"/>
        </w:rPr>
        <w:t>、年级教学信息小组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0"/>
        </w:rPr>
        <w:t>班级教学信息员。班级教学信息员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0"/>
        </w:rPr>
        <w:t>年级教学信息小组负责，年级教学信息小组对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教学信息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站</w:t>
      </w:r>
      <w:r>
        <w:rPr>
          <w:rFonts w:hint="eastAsia" w:ascii="仿宋" w:hAnsi="仿宋" w:eastAsia="仿宋" w:cs="仿宋"/>
          <w:sz w:val="28"/>
          <w:szCs w:val="20"/>
        </w:rPr>
        <w:t>负责，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教学信息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站</w:t>
      </w:r>
      <w:r>
        <w:rPr>
          <w:rFonts w:hint="eastAsia" w:ascii="仿宋" w:hAnsi="仿宋" w:eastAsia="仿宋" w:cs="仿宋"/>
          <w:sz w:val="28"/>
          <w:szCs w:val="20"/>
        </w:rPr>
        <w:t>向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教学质量管理处</w:t>
      </w:r>
      <w:r>
        <w:rPr>
          <w:rFonts w:hint="eastAsia" w:ascii="仿宋" w:hAnsi="仿宋" w:eastAsia="仿宋" w:cs="仿宋"/>
          <w:sz w:val="28"/>
          <w:szCs w:val="20"/>
        </w:rPr>
        <w:t>负责（如下图所示）。</w:t>
      </w:r>
    </w:p>
    <w:tbl>
      <w:tblPr>
        <w:tblStyle w:val="5"/>
        <w:tblW w:w="3304" w:type="dxa"/>
        <w:tblInd w:w="2852" w:type="dxa"/>
        <w:tblBorders>
          <w:top w:val="single" w:color="2D5171" w:sz="12" w:space="0"/>
          <w:left w:val="single" w:color="2D5171" w:sz="12" w:space="0"/>
          <w:bottom w:val="single" w:color="2D5171" w:sz="12" w:space="0"/>
          <w:right w:val="single" w:color="2D5171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</w:tblGrid>
      <w:tr>
        <w:tblPrEx>
          <w:tblBorders>
            <w:top w:val="single" w:color="2D5171" w:sz="12" w:space="0"/>
            <w:left w:val="single" w:color="2D5171" w:sz="12" w:space="0"/>
            <w:bottom w:val="single" w:color="2D5171" w:sz="12" w:space="0"/>
            <w:right w:val="single" w:color="2D517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16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教学质量管理处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16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学生教学信息中心</w:t>
            </w:r>
          </w:p>
        </w:tc>
      </w:tr>
    </w:tbl>
    <w:p>
      <w:pPr>
        <w:spacing w:before="46" w:line="548" w:lineRule="exact"/>
        <w:ind w:left="4310"/>
        <w:rPr>
          <w:position w:val="-11"/>
        </w:rPr>
      </w:pPr>
      <w:r>
        <w:rPr>
          <w:position w:val="-11"/>
        </w:rPr>
        <w:drawing>
          <wp:inline distT="0" distB="0" distL="0" distR="0">
            <wp:extent cx="277495" cy="347345"/>
            <wp:effectExtent l="0" t="0" r="8255" b="1460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685" cy="34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315" w:type="dxa"/>
        <w:tblInd w:w="3012" w:type="dxa"/>
        <w:tblBorders>
          <w:top w:val="single" w:color="2D5171" w:sz="8" w:space="0"/>
          <w:left w:val="single" w:color="2D5171" w:sz="8" w:space="0"/>
          <w:bottom w:val="single" w:color="2D5171" w:sz="8" w:space="0"/>
          <w:right w:val="single" w:color="2D517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</w:tblGrid>
      <w:tr>
        <w:tblPrEx>
          <w:tblBorders>
            <w:top w:val="single" w:color="2D5171" w:sz="8" w:space="0"/>
            <w:left w:val="single" w:color="2D5171" w:sz="8" w:space="0"/>
            <w:bottom w:val="single" w:color="2D5171" w:sz="8" w:space="0"/>
            <w:right w:val="single" w:color="2D517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315" w:type="dxa"/>
            <w:vAlign w:val="center"/>
          </w:tcPr>
          <w:p>
            <w:pPr>
              <w:spacing w:before="110" w:line="216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系部教学信息站</w:t>
            </w:r>
          </w:p>
        </w:tc>
      </w:tr>
    </w:tbl>
    <w:p>
      <w:pPr>
        <w:pStyle w:val="2"/>
        <w:tabs>
          <w:tab w:val="left" w:pos="3747"/>
        </w:tabs>
        <w:spacing w:before="123" w:line="216" w:lineRule="auto"/>
        <w:ind w:left="2897"/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position w:val="-10"/>
        </w:rPr>
        <w:drawing>
          <wp:inline distT="0" distB="0" distL="0" distR="0">
            <wp:extent cx="277495" cy="347345"/>
            <wp:effectExtent l="0" t="0" r="8255" b="1460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698" cy="34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" w:lineRule="exact"/>
      </w:pPr>
    </w:p>
    <w:tbl>
      <w:tblPr>
        <w:tblStyle w:val="5"/>
        <w:tblW w:w="3304" w:type="dxa"/>
        <w:tblInd w:w="2942" w:type="dxa"/>
        <w:tblBorders>
          <w:top w:val="single" w:color="2D5171" w:sz="12" w:space="0"/>
          <w:left w:val="single" w:color="2D5171" w:sz="12" w:space="0"/>
          <w:bottom w:val="single" w:color="2D5171" w:sz="12" w:space="0"/>
          <w:right w:val="single" w:color="2D5171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</w:tblGrid>
      <w:tr>
        <w:tblPrEx>
          <w:tblBorders>
            <w:top w:val="single" w:color="2D5171" w:sz="12" w:space="0"/>
            <w:left w:val="single" w:color="2D5171" w:sz="12" w:space="0"/>
            <w:bottom w:val="single" w:color="2D5171" w:sz="12" w:space="0"/>
            <w:right w:val="single" w:color="2D517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304" w:type="dxa"/>
            <w:vAlign w:val="center"/>
          </w:tcPr>
          <w:p>
            <w:pPr>
              <w:spacing w:before="101" w:line="216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年级教学信息小组</w:t>
            </w:r>
          </w:p>
        </w:tc>
      </w:tr>
    </w:tbl>
    <w:p>
      <w:pPr>
        <w:spacing w:before="62" w:line="548" w:lineRule="exact"/>
        <w:ind w:left="0" w:leftChars="0" w:firstLine="0" w:firstLineChars="0"/>
      </w:pPr>
      <w:r>
        <w:rPr>
          <w:rFonts w:hint="eastAsia"/>
          <w:position w:val="-10"/>
          <w:lang w:val="en-US" w:eastAsia="zh-CN"/>
        </w:rPr>
        <w:t xml:space="preserve">                                         </w:t>
      </w:r>
      <w:r>
        <w:rPr>
          <w:position w:val="-10"/>
        </w:rPr>
        <w:drawing>
          <wp:inline distT="0" distB="0" distL="0" distR="0">
            <wp:extent cx="277495" cy="347345"/>
            <wp:effectExtent l="0" t="0" r="8255" b="1460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685" cy="34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10"/>
          <w:lang w:val="en-US" w:eastAsia="zh-CN"/>
        </w:rPr>
        <w:t xml:space="preserve">                                                            </w:t>
      </w:r>
    </w:p>
    <w:tbl>
      <w:tblPr>
        <w:tblStyle w:val="5"/>
        <w:tblpPr w:leftFromText="180" w:rightFromText="180" w:vertAnchor="text" w:horzAnchor="page" w:tblpX="4567" w:tblpY="88"/>
        <w:tblOverlap w:val="never"/>
        <w:tblW w:w="3315" w:type="dxa"/>
        <w:tblInd w:w="0" w:type="dxa"/>
        <w:tblBorders>
          <w:top w:val="single" w:color="2D5171" w:sz="8" w:space="0"/>
          <w:left w:val="single" w:color="2D5171" w:sz="8" w:space="0"/>
          <w:bottom w:val="single" w:color="2D5171" w:sz="8" w:space="0"/>
          <w:right w:val="single" w:color="2D517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</w:tblGrid>
      <w:tr>
        <w:tblPrEx>
          <w:tblBorders>
            <w:top w:val="single" w:color="2D5171" w:sz="8" w:space="0"/>
            <w:left w:val="single" w:color="2D5171" w:sz="8" w:space="0"/>
            <w:bottom w:val="single" w:color="2D5171" w:sz="8" w:space="0"/>
            <w:right w:val="single" w:color="2D517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315" w:type="dxa"/>
            <w:vAlign w:val="center"/>
          </w:tcPr>
          <w:p>
            <w:pPr>
              <w:spacing w:before="110" w:line="216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班级教学信息员</w:t>
            </w:r>
          </w:p>
        </w:tc>
      </w:tr>
    </w:tbl>
    <w:p>
      <w:pPr>
        <w:spacing w:line="98" w:lineRule="auto"/>
        <w:rPr>
          <w:rFonts w:ascii="Arial"/>
          <w:sz w:val="2"/>
        </w:rPr>
      </w:pPr>
    </w:p>
    <w:p>
      <w:pPr>
        <w:pStyle w:val="2"/>
        <w:spacing w:before="48" w:line="217" w:lineRule="auto"/>
        <w:ind w:left="0" w:leftChars="0" w:firstLine="0" w:firstLineChars="0"/>
        <w:rPr>
          <w:spacing w:val="-8"/>
          <w:sz w:val="24"/>
          <w:szCs w:val="24"/>
        </w:rPr>
      </w:pPr>
    </w:p>
    <w:p>
      <w:pPr>
        <w:pStyle w:val="2"/>
        <w:spacing w:before="48" w:line="217" w:lineRule="auto"/>
        <w:ind w:left="0" w:leftChars="0" w:firstLine="0" w:firstLineChars="0"/>
        <w:jc w:val="center"/>
        <w:rPr>
          <w:sz w:val="24"/>
          <w:szCs w:val="24"/>
        </w:rPr>
      </w:pPr>
      <w:bookmarkStart w:id="0" w:name="_GoBack"/>
      <w:bookmarkEnd w:id="0"/>
      <w:r>
        <w:rPr>
          <w:spacing w:val="-8"/>
          <w:sz w:val="24"/>
          <w:szCs w:val="24"/>
        </w:rPr>
        <w:t>图</w:t>
      </w:r>
      <w:r>
        <w:rPr>
          <w:rFonts w:hint="eastAsia"/>
          <w:spacing w:val="-8"/>
          <w:sz w:val="24"/>
          <w:szCs w:val="24"/>
          <w:lang w:val="en-US" w:eastAsia="zh-CN"/>
        </w:rPr>
        <w:t>为：</w:t>
      </w:r>
      <w:r>
        <w:rPr>
          <w:spacing w:val="-8"/>
          <w:sz w:val="24"/>
          <w:szCs w:val="24"/>
        </w:rPr>
        <w:t>四级组织管理体系示意图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每个行政班均设班教学信息员一名，选拨责任心强、乐于奉献的学生担任，并按工作情况，每学期给予评奖评优。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考虑学校实际情况和信息员工作的连续性，各年级教学信息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小</w:t>
      </w:r>
      <w:r>
        <w:rPr>
          <w:rFonts w:hint="eastAsia" w:ascii="仿宋" w:hAnsi="仿宋" w:eastAsia="仿宋" w:cs="仿宋"/>
          <w:sz w:val="28"/>
          <w:szCs w:val="20"/>
        </w:rPr>
        <w:t>组组长由在籍在校学生担任。每个年级的教学信息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组长</w:t>
      </w:r>
      <w:r>
        <w:rPr>
          <w:rFonts w:hint="eastAsia" w:ascii="仿宋" w:hAnsi="仿宋" w:eastAsia="仿宋" w:cs="仿宋"/>
          <w:sz w:val="28"/>
          <w:szCs w:val="20"/>
        </w:rPr>
        <w:t>同时兼任本班信息员。以合并计算的年级班级总数为基础，设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组长</w:t>
      </w:r>
      <w:r>
        <w:rPr>
          <w:rFonts w:hint="eastAsia" w:ascii="仿宋" w:hAnsi="仿宋" w:eastAsia="仿宋" w:cs="仿宋"/>
          <w:sz w:val="28"/>
          <w:szCs w:val="20"/>
        </w:rPr>
        <w:t>1-2人（当同一年级班级总数≥20个时，才可设置2位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组长</w:t>
      </w:r>
      <w:r>
        <w:rPr>
          <w:rFonts w:hint="eastAsia" w:ascii="仿宋" w:hAnsi="仿宋" w:eastAsia="仿宋" w:cs="仿宋"/>
          <w:sz w:val="28"/>
          <w:szCs w:val="20"/>
        </w:rPr>
        <w:t>）。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各系</w:t>
      </w:r>
      <w:r>
        <w:rPr>
          <w:rFonts w:hint="eastAsia" w:ascii="仿宋" w:hAnsi="仿宋" w:eastAsia="仿宋" w:cs="仿宋"/>
          <w:sz w:val="28"/>
          <w:szCs w:val="20"/>
          <w:highlight w:val="none"/>
        </w:rPr>
        <w:t>部教学</w:t>
      </w:r>
      <w:r>
        <w:rPr>
          <w:rFonts w:hint="eastAsia" w:ascii="仿宋" w:hAnsi="仿宋" w:eastAsia="仿宋" w:cs="仿宋"/>
          <w:sz w:val="28"/>
          <w:szCs w:val="20"/>
          <w:highlight w:val="none"/>
          <w:lang w:val="en-US" w:eastAsia="zh-CN"/>
        </w:rPr>
        <w:t>质量</w:t>
      </w:r>
      <w:r>
        <w:rPr>
          <w:rFonts w:hint="eastAsia" w:ascii="仿宋" w:hAnsi="仿宋" w:eastAsia="仿宋" w:cs="仿宋"/>
          <w:sz w:val="28"/>
          <w:szCs w:val="20"/>
          <w:highlight w:val="none"/>
        </w:rPr>
        <w:t>管理员</w:t>
      </w:r>
      <w:r>
        <w:rPr>
          <w:rFonts w:hint="eastAsia" w:ascii="仿宋" w:hAnsi="仿宋" w:eastAsia="仿宋" w:cs="仿宋"/>
          <w:sz w:val="28"/>
          <w:szCs w:val="20"/>
        </w:rPr>
        <w:t>担任学生教学信息员指导老师，各系部教学信息站站长原则上由高年级学生担任，在系部老师指导下，负责本系部的学生教学信息员管理和组织建设。并选配好年级教学信息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组长、</w:t>
      </w:r>
      <w:r>
        <w:rPr>
          <w:rFonts w:hint="eastAsia" w:ascii="仿宋" w:hAnsi="仿宋" w:eastAsia="仿宋" w:cs="仿宋"/>
          <w:sz w:val="28"/>
          <w:szCs w:val="20"/>
        </w:rPr>
        <w:t>各班的信息员，分配好任务。年级教学信息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组长</w:t>
      </w:r>
      <w:r>
        <w:rPr>
          <w:rFonts w:hint="eastAsia" w:ascii="仿宋" w:hAnsi="仿宋" w:eastAsia="仿宋" w:cs="仿宋"/>
          <w:sz w:val="28"/>
          <w:szCs w:val="20"/>
        </w:rPr>
        <w:t>、各班的信息员经所属系部批准后，报教学质量管理处备案，由教学质量管理处发文公布。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系部教学信息站站长、年级教学信息小组组长和各班教学信息员不得随意更换，确需更换，各系部要说明更换的原由，并报请教学质量管理处备案和审核批准。教学质量管理处牵头负责全校教学信息员队伍管理和运行工作。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本学年结束，本届学生教学信息员组织机构自动解散，工作由新一届教学信息员组织机构进行接递。</w:t>
      </w:r>
    </w:p>
    <w:p>
      <w:pPr>
        <w:spacing w:before="253" w:line="228" w:lineRule="auto"/>
        <w:ind w:left="0" w:leftChars="0" w:firstLine="652" w:firstLineChars="200"/>
        <w:outlineLvl w:val="0"/>
        <w:rPr>
          <w:rFonts w:hint="eastAsia"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二、岗位职责</w:t>
      </w:r>
    </w:p>
    <w:p>
      <w:pPr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0"/>
        </w:rPr>
      </w:pPr>
      <w:r>
        <w:rPr>
          <w:rFonts w:hint="eastAsia" w:ascii="仿宋" w:hAnsi="仿宋" w:eastAsia="仿宋" w:cs="仿宋"/>
          <w:b/>
          <w:bCs/>
          <w:sz w:val="28"/>
          <w:szCs w:val="20"/>
        </w:rPr>
        <w:t>（一）班级教学信息员的职责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1.广泛搜集本班学生对教学计划、教学内容、教学管理和教学条件，以及教师的教学态度、教学方法和教学手段、教学效果等教学工作的评价意见和建议；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2.全面反映本班听课、实验、作业、考试等情况；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  <w:highlight w:val="none"/>
        </w:rPr>
        <w:t>3.</w:t>
      </w:r>
      <w:r>
        <w:rPr>
          <w:rFonts w:hint="eastAsia" w:ascii="仿宋" w:hAnsi="仿宋" w:eastAsia="仿宋" w:cs="仿宋"/>
          <w:sz w:val="28"/>
          <w:szCs w:val="20"/>
          <w:highlight w:val="none"/>
          <w:lang w:val="en-US" w:eastAsia="zh-CN"/>
        </w:rPr>
        <w:t>每月中旬、月末登录钉钉平台-工作台-教学质量管理平台，</w:t>
      </w:r>
      <w:r>
        <w:rPr>
          <w:rFonts w:hint="eastAsia" w:ascii="仿宋" w:hAnsi="仿宋" w:eastAsia="仿宋" w:cs="仿宋"/>
          <w:sz w:val="28"/>
          <w:szCs w:val="20"/>
        </w:rPr>
        <w:t>认真并如实填写《学生教学信息反馈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采集</w:t>
      </w:r>
      <w:r>
        <w:rPr>
          <w:rFonts w:hint="eastAsia" w:ascii="仿宋" w:hAnsi="仿宋" w:eastAsia="仿宋" w:cs="仿宋"/>
          <w:sz w:val="28"/>
          <w:szCs w:val="20"/>
        </w:rPr>
        <w:t>表》，向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教学质量管理处</w:t>
      </w:r>
      <w:r>
        <w:rPr>
          <w:rFonts w:hint="eastAsia" w:ascii="仿宋" w:hAnsi="仿宋" w:eastAsia="仿宋" w:cs="仿宋"/>
          <w:sz w:val="28"/>
          <w:szCs w:val="20"/>
        </w:rPr>
        <w:t>反映任课教师的教学质量、学生的学习动态、教学管理制度的执行情况等。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4.积极主动做好年级教学信息小组组长交办的其他工作。</w:t>
      </w:r>
    </w:p>
    <w:p>
      <w:pPr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0"/>
        </w:rPr>
      </w:pPr>
      <w:r>
        <w:rPr>
          <w:rFonts w:hint="eastAsia" w:ascii="仿宋" w:hAnsi="仿宋" w:eastAsia="仿宋" w:cs="仿宋"/>
          <w:b/>
          <w:bCs/>
          <w:sz w:val="28"/>
          <w:szCs w:val="20"/>
        </w:rPr>
        <w:t>（二）年级教学信息小组组长的职责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  <w:lang w:eastAsia="zh-CN"/>
        </w:rPr>
      </w:pPr>
      <w:r>
        <w:rPr>
          <w:rFonts w:hint="eastAsia" w:ascii="仿宋" w:hAnsi="仿宋" w:eastAsia="仿宋" w:cs="仿宋"/>
          <w:sz w:val="28"/>
          <w:szCs w:val="20"/>
        </w:rPr>
        <w:t>1.履行班级教学信息员的职责，认真填写《学生教学信息反馈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采集</w:t>
      </w:r>
      <w:r>
        <w:rPr>
          <w:rFonts w:hint="eastAsia" w:ascii="仿宋" w:hAnsi="仿宋" w:eastAsia="仿宋" w:cs="仿宋"/>
          <w:sz w:val="28"/>
          <w:szCs w:val="20"/>
        </w:rPr>
        <w:t>表》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2.负责本年级所有（或相应）班级教学信息员的管理工作；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3.收集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0"/>
        </w:rPr>
        <w:t>整理、汇总《学生教学信息反馈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采集</w:t>
      </w:r>
      <w:r>
        <w:rPr>
          <w:rFonts w:hint="eastAsia" w:ascii="仿宋" w:hAnsi="仿宋" w:eastAsia="仿宋" w:cs="仿宋"/>
          <w:sz w:val="28"/>
          <w:szCs w:val="20"/>
        </w:rPr>
        <w:t>表》，每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月中旬、月末</w:t>
      </w:r>
      <w:r>
        <w:rPr>
          <w:rFonts w:hint="eastAsia" w:ascii="仿宋" w:hAnsi="仿宋" w:eastAsia="仿宋" w:cs="仿宋"/>
          <w:sz w:val="28"/>
          <w:szCs w:val="20"/>
        </w:rPr>
        <w:t>上交至教学质量管理处，对教学中的特别情况可第一时间向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教学信息站站长</w:t>
      </w:r>
      <w:r>
        <w:rPr>
          <w:rFonts w:hint="eastAsia" w:ascii="仿宋" w:hAnsi="仿宋" w:eastAsia="仿宋" w:cs="仿宋"/>
          <w:sz w:val="28"/>
          <w:szCs w:val="20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教学质量管理员（指导教师）或</w:t>
      </w:r>
      <w:r>
        <w:rPr>
          <w:rFonts w:hint="eastAsia" w:ascii="仿宋" w:hAnsi="仿宋" w:eastAsia="仿宋" w:cs="仿宋"/>
          <w:sz w:val="28"/>
          <w:szCs w:val="20"/>
        </w:rPr>
        <w:t>教学质量管理处反映；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4.对本年级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0"/>
        </w:rPr>
        <w:t>教学信息员反馈的教学相关问题及时上报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教学信息站或教学质量管理处；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5.积极主动做好教学质量管理处和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系部教学信息站</w:t>
      </w:r>
      <w:r>
        <w:rPr>
          <w:rFonts w:hint="eastAsia" w:ascii="仿宋" w:hAnsi="仿宋" w:eastAsia="仿宋" w:cs="仿宋"/>
          <w:sz w:val="28"/>
          <w:szCs w:val="20"/>
        </w:rPr>
        <w:t>的其他工作。</w:t>
      </w:r>
    </w:p>
    <w:p>
      <w:pPr>
        <w:ind w:left="0" w:leftChars="0"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0"/>
        </w:rPr>
      </w:pPr>
      <w:r>
        <w:rPr>
          <w:rFonts w:hint="eastAsia" w:ascii="仿宋" w:hAnsi="仿宋" w:eastAsia="仿宋" w:cs="仿宋"/>
          <w:b/>
          <w:bCs/>
          <w:sz w:val="28"/>
          <w:szCs w:val="20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b/>
          <w:bCs/>
          <w:sz w:val="28"/>
          <w:szCs w:val="20"/>
        </w:rPr>
        <w:t>教学信息站站长的职责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1.认真负责组织本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的学生教学信息员的选拨、管理和培训工作，并分配好任务；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2.督促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所有信息员认真记录任课老师的教学情况并及时上传给年级组长，督促各年级组长按规定时间汇总信息并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按时上报至</w:t>
      </w:r>
      <w:r>
        <w:rPr>
          <w:rFonts w:hint="eastAsia" w:ascii="仿宋" w:hAnsi="仿宋" w:eastAsia="仿宋" w:cs="仿宋"/>
          <w:sz w:val="28"/>
          <w:szCs w:val="20"/>
        </w:rPr>
        <w:t>教学质量管理处；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3.对教学信息员提出的教学相关问题，及时向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和教学质量管理处反馈；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4.及时了解本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系学生</w:t>
      </w:r>
      <w:r>
        <w:rPr>
          <w:rFonts w:hint="eastAsia" w:ascii="仿宋" w:hAnsi="仿宋" w:eastAsia="仿宋" w:cs="仿宋"/>
          <w:sz w:val="28"/>
          <w:szCs w:val="20"/>
        </w:rPr>
        <w:t>教学信息员的思想动态和工作情况；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5.积极主动做好教学质量管理处交办的其他工作。</w:t>
      </w:r>
    </w:p>
    <w:p>
      <w:pPr>
        <w:spacing w:before="253" w:line="228" w:lineRule="auto"/>
        <w:ind w:left="0" w:leftChars="0" w:firstLine="652" w:firstLineChars="200"/>
        <w:outlineLvl w:val="0"/>
        <w:rPr>
          <w:rFonts w:hint="eastAsia"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三、奖惩措施</w:t>
      </w:r>
    </w:p>
    <w:p>
      <w:pPr>
        <w:ind w:left="0" w:leftChars="0" w:firstLine="560" w:firstLineChars="200"/>
        <w:jc w:val="left"/>
        <w:rPr>
          <w:rFonts w:hint="default" w:ascii="仿宋" w:hAnsi="仿宋" w:eastAsia="仿宋" w:cs="仿宋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0"/>
          <w:lang w:val="en-US" w:eastAsia="zh-CN"/>
        </w:rPr>
        <w:t>学生教学信息员纳入学生组织架构，对担任学生教学信息员的学生，学校在评奖评优工作中优先考虑。</w:t>
      </w:r>
    </w:p>
    <w:p>
      <w:pPr>
        <w:ind w:left="0" w:leftChars="0" w:firstLine="560" w:firstLineChars="200"/>
        <w:jc w:val="left"/>
        <w:rPr>
          <w:rFonts w:hint="default" w:ascii="仿宋" w:hAnsi="仿宋" w:eastAsia="仿宋" w:cs="仿宋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0"/>
          <w:lang w:val="en-US" w:eastAsia="zh-CN"/>
        </w:rPr>
        <w:t>每学年末，教学质量管理处依照工作职责要求及具体工作情况，对教学信息小组、教学信息员进行考核。考核优秀者，由学校颁发“优秀教学信息员”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0"/>
          <w:lang w:val="en-US" w:eastAsia="zh-CN"/>
        </w:rPr>
        <w:t>“优秀教学信息站”荣誉证书。</w:t>
      </w:r>
    </w:p>
    <w:p>
      <w:pPr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0"/>
        </w:rPr>
        <w:t>.各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教学信息员工作质量的高低是学校考核各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教学工作的指标之一。教学质量管理处将视情不定期讲评和通报各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系部</w:t>
      </w:r>
      <w:r>
        <w:rPr>
          <w:rFonts w:hint="eastAsia" w:ascii="仿宋" w:hAnsi="仿宋" w:eastAsia="仿宋" w:cs="仿宋"/>
          <w:sz w:val="28"/>
          <w:szCs w:val="20"/>
        </w:rPr>
        <w:t>教学信息员队伍工作情况。</w:t>
      </w:r>
    </w:p>
    <w:p>
      <w:pPr>
        <w:spacing w:before="253" w:line="228" w:lineRule="auto"/>
        <w:ind w:left="0" w:leftChars="0" w:firstLine="652" w:firstLineChars="200"/>
        <w:outlineLvl w:val="0"/>
        <w:rPr>
          <w:rFonts w:hint="eastAsia"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四、附则</w:t>
      </w:r>
    </w:p>
    <w:p>
      <w:pPr>
        <w:spacing w:before="253" w:line="228" w:lineRule="auto"/>
        <w:ind w:left="0" w:leftChars="0" w:firstLine="560" w:firstLineChars="200"/>
        <w:outlineLvl w:val="0"/>
        <w:rPr>
          <w:rFonts w:hint="eastAsia" w:ascii="仿宋" w:hAnsi="仿宋" w:eastAsia="仿宋" w:cs="仿宋"/>
          <w:sz w:val="28"/>
          <w:szCs w:val="20"/>
        </w:rPr>
      </w:pPr>
      <w:r>
        <w:rPr>
          <w:rFonts w:hint="eastAsia" w:ascii="仿宋" w:hAnsi="仿宋" w:eastAsia="仿宋" w:cs="仿宋"/>
          <w:sz w:val="28"/>
          <w:szCs w:val="20"/>
        </w:rPr>
        <w:t>本方案由教学质量管理处负责解释。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CE4CB2-8681-4AC4-A13C-9C6C48AB51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C96192-5A1E-418D-B0DD-9F441ABBB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95DE138-65DD-4932-A455-A8C578D7428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B0F6CFB-7E0D-4D16-B4B2-6AE95FB896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D21E8A9-7937-4D6E-8E29-7AAC9A4092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hYmMxNDk0NTk1ZDg5ZTk3ZjQ3YjcxZjY0ZTkifQ=="/>
  </w:docVars>
  <w:rsids>
    <w:rsidRoot w:val="00000000"/>
    <w:rsid w:val="099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2024-01-09T05:43:16Z</dcterms:created>
  <dc:creator>Administrator</dc:creator>
  <cp:lastModifiedBy>程百万</cp:lastModifiedBy>
  <dcterms:modified xsi:type="dcterms:W3CDTF">2024-01-09T05:43:37Z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E873AC9575474E5E85C86BC02BDB9BBC_12</vt:lpwstr>
  </property>
</Properties>
</file>